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B770" w14:textId="77777777" w:rsidR="00996AB6" w:rsidRPr="00996AB6" w:rsidRDefault="00996AB6" w:rsidP="00996AB6">
      <w:pPr>
        <w:bidi/>
        <w:rPr>
          <w:rFonts w:ascii="NeoSansArabic" w:eastAsia="Calibri" w:hAnsi="NeoSansArabic" w:cs="NeoSansArabic"/>
          <w:sz w:val="28"/>
          <w:szCs w:val="28"/>
          <w:u w:val="single"/>
          <w:shd w:val="clear" w:color="auto" w:fill="BF8F00"/>
          <w:rtl/>
        </w:rPr>
      </w:pPr>
      <w:r w:rsidRPr="00996AB6">
        <w:rPr>
          <w:rFonts w:ascii="NeoSansArabic" w:eastAsia="Calibri" w:hAnsi="NeoSansArabic" w:cs="NeoSansArabic" w:hint="cs"/>
          <w:noProof/>
          <w:sz w:val="20"/>
          <w:szCs w:val="20"/>
        </w:rPr>
        <w:drawing>
          <wp:anchor distT="0" distB="0" distL="114300" distR="114300" simplePos="0" relativeHeight="251659264" behindDoc="1" locked="0" layoutInCell="1" allowOverlap="1" wp14:anchorId="24E64305" wp14:editId="30A5D1A3">
            <wp:simplePos x="0" y="0"/>
            <wp:positionH relativeFrom="column">
              <wp:posOffset>5174615</wp:posOffset>
            </wp:positionH>
            <wp:positionV relativeFrom="paragraph">
              <wp:posOffset>-209550</wp:posOffset>
            </wp:positionV>
            <wp:extent cx="1074198" cy="544664"/>
            <wp:effectExtent l="0" t="0" r="5715" b="190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074198" cy="544664"/>
                    </a:xfrm>
                    <a:prstGeom prst="rect">
                      <a:avLst/>
                    </a:prstGeom>
                  </pic:spPr>
                </pic:pic>
              </a:graphicData>
            </a:graphic>
            <wp14:sizeRelH relativeFrom="page">
              <wp14:pctWidth>0</wp14:pctWidth>
            </wp14:sizeRelH>
            <wp14:sizeRelV relativeFrom="page">
              <wp14:pctHeight>0</wp14:pctHeight>
            </wp14:sizeRelV>
          </wp:anchor>
        </w:drawing>
      </w:r>
    </w:p>
    <w:p w14:paraId="5F2F1954" w14:textId="77777777" w:rsidR="00996AB6" w:rsidRPr="00996AB6" w:rsidRDefault="00996AB6" w:rsidP="00996AB6">
      <w:pPr>
        <w:bidi/>
        <w:jc w:val="center"/>
        <w:rPr>
          <w:rFonts w:ascii="NeoSansArabic" w:eastAsia="Calibri" w:hAnsi="NeoSansArabic" w:cs="NeoSansArabic"/>
          <w:b/>
          <w:bCs/>
          <w:color w:val="2A68AC"/>
          <w:sz w:val="28"/>
          <w:szCs w:val="28"/>
          <w:rtl/>
        </w:rPr>
      </w:pPr>
    </w:p>
    <w:p w14:paraId="2CEB9CF5" w14:textId="0CCD59C3" w:rsidR="00996AB6" w:rsidRPr="00996AB6" w:rsidRDefault="00374449" w:rsidP="00996AB6">
      <w:pPr>
        <w:bidi/>
        <w:jc w:val="center"/>
        <w:rPr>
          <w:rFonts w:ascii="NeoSansArabic" w:eastAsia="Calibri" w:hAnsi="NeoSansArabic" w:cs="NeoSansArabic"/>
          <w:b/>
          <w:bCs/>
          <w:color w:val="2A68AC"/>
          <w:sz w:val="28"/>
          <w:szCs w:val="28"/>
          <w:rtl/>
        </w:rPr>
      </w:pPr>
      <w:r>
        <w:rPr>
          <w:rFonts w:ascii="NeoSansArabic" w:eastAsia="Calibri" w:hAnsi="NeoSansArabic" w:cs="NeoSansArabic" w:hint="cs"/>
          <w:b/>
          <w:bCs/>
          <w:color w:val="2A68AC"/>
          <w:sz w:val="28"/>
          <w:szCs w:val="28"/>
          <w:rtl/>
        </w:rPr>
        <w:t>سياسات وإجراءات اعتماد مقدمي الخدمة</w:t>
      </w:r>
    </w:p>
    <w:tbl>
      <w:tblPr>
        <w:tblStyle w:val="TableGrid"/>
        <w:bidiVisual/>
        <w:tblW w:w="10342" w:type="dxa"/>
        <w:tblInd w:w="-726" w:type="dxa"/>
        <w:tblLook w:val="04A0" w:firstRow="1" w:lastRow="0" w:firstColumn="1" w:lastColumn="0" w:noHBand="0" w:noVBand="1"/>
      </w:tblPr>
      <w:tblGrid>
        <w:gridCol w:w="634"/>
        <w:gridCol w:w="9708"/>
      </w:tblGrid>
      <w:tr w:rsidR="00996AB6" w:rsidRPr="00996AB6" w14:paraId="73DD9E3F" w14:textId="77777777" w:rsidTr="00B5711D">
        <w:trPr>
          <w:trHeight w:val="710"/>
        </w:trPr>
        <w:tc>
          <w:tcPr>
            <w:tcW w:w="634" w:type="dxa"/>
            <w:shd w:val="clear" w:color="auto" w:fill="2A68AC"/>
            <w:vAlign w:val="center"/>
          </w:tcPr>
          <w:p w14:paraId="65F13CFE" w14:textId="77777777" w:rsidR="00996AB6" w:rsidRPr="00996AB6" w:rsidRDefault="00996AB6" w:rsidP="00996AB6">
            <w:pPr>
              <w:bidi/>
              <w:jc w:val="center"/>
              <w:rPr>
                <w:rFonts w:ascii="NeoSansArabic" w:eastAsia="Calibri" w:hAnsi="NeoSansArabic" w:cs="NeoSansArabic"/>
                <w:color w:val="FFFFFF"/>
                <w:sz w:val="28"/>
                <w:szCs w:val="28"/>
                <w:rtl/>
              </w:rPr>
            </w:pPr>
            <w:r w:rsidRPr="00996AB6">
              <w:rPr>
                <w:rFonts w:ascii="NeoSansArabic" w:eastAsia="Calibri" w:hAnsi="NeoSansArabic" w:cs="NeoSansArabic" w:hint="cs"/>
                <w:color w:val="FFFFFF"/>
                <w:sz w:val="28"/>
                <w:szCs w:val="28"/>
                <w:rtl/>
              </w:rPr>
              <w:t>م</w:t>
            </w:r>
          </w:p>
        </w:tc>
        <w:tc>
          <w:tcPr>
            <w:tcW w:w="9708" w:type="dxa"/>
            <w:shd w:val="clear" w:color="auto" w:fill="2A68AC"/>
            <w:vAlign w:val="center"/>
          </w:tcPr>
          <w:p w14:paraId="72BDBBE1" w14:textId="77777777" w:rsidR="00996AB6" w:rsidRPr="00996AB6" w:rsidRDefault="00996AB6" w:rsidP="00996AB6">
            <w:pPr>
              <w:bidi/>
              <w:jc w:val="center"/>
              <w:rPr>
                <w:rFonts w:ascii="NeoSansArabic" w:eastAsia="Calibri" w:hAnsi="NeoSansArabic" w:cs="NeoSansArabic"/>
                <w:color w:val="FFFFFF"/>
                <w:sz w:val="28"/>
                <w:szCs w:val="28"/>
                <w:rtl/>
              </w:rPr>
            </w:pPr>
            <w:r w:rsidRPr="00996AB6">
              <w:rPr>
                <w:rFonts w:ascii="NeoSansArabic" w:eastAsia="Calibri" w:hAnsi="NeoSansArabic" w:cs="NeoSansArabic" w:hint="cs"/>
                <w:color w:val="FFFFFF"/>
                <w:sz w:val="28"/>
                <w:szCs w:val="28"/>
                <w:rtl/>
              </w:rPr>
              <w:t>المتطلبات</w:t>
            </w:r>
          </w:p>
        </w:tc>
      </w:tr>
      <w:tr w:rsidR="00452DD1" w:rsidRPr="00996AB6" w14:paraId="45C5B3BE" w14:textId="77777777" w:rsidTr="009E4524">
        <w:tc>
          <w:tcPr>
            <w:tcW w:w="634" w:type="dxa"/>
            <w:shd w:val="clear" w:color="auto" w:fill="2A68AC"/>
            <w:vAlign w:val="center"/>
          </w:tcPr>
          <w:p w14:paraId="180CCC4D"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1</w:t>
            </w:r>
          </w:p>
        </w:tc>
        <w:tc>
          <w:tcPr>
            <w:tcW w:w="9708" w:type="dxa"/>
          </w:tcPr>
          <w:p w14:paraId="1845B88D" w14:textId="1572D87C" w:rsidR="00452DD1" w:rsidRPr="00E82410" w:rsidRDefault="00452DD1" w:rsidP="00452DD1">
            <w:pPr>
              <w:bidi/>
              <w:spacing w:line="400" w:lineRule="exact"/>
              <w:rPr>
                <w:rtl/>
              </w:rPr>
            </w:pPr>
            <w:r w:rsidRPr="00E12038">
              <w:rPr>
                <w:rFonts w:ascii="Calibri" w:hAnsi="Calibri" w:cs="Calibri"/>
                <w:color w:val="212529"/>
              </w:rPr>
              <w:t> </w:t>
            </w:r>
            <w:r w:rsidRPr="00E12038">
              <w:rPr>
                <w:rFonts w:ascii="Neo Sans Arabic Regular" w:hAnsi="Neo Sans Arabic Regular"/>
                <w:color w:val="212529"/>
                <w:rtl/>
              </w:rPr>
              <w:t>يُراجع الطلب والوثائق المرفقة خلال خمسة أيام عمل من تاريخ تقديم الطلب مكتملاً</w:t>
            </w:r>
            <w:r w:rsidRPr="00E12038">
              <w:rPr>
                <w:rFonts w:ascii="Neo Sans Arabic Regular" w:hAnsi="Neo Sans Arabic Regular"/>
                <w:color w:val="212529"/>
              </w:rPr>
              <w:t>.</w:t>
            </w:r>
          </w:p>
        </w:tc>
      </w:tr>
      <w:tr w:rsidR="00452DD1" w:rsidRPr="00996AB6" w14:paraId="1383E629" w14:textId="77777777" w:rsidTr="009E4524">
        <w:tc>
          <w:tcPr>
            <w:tcW w:w="634" w:type="dxa"/>
            <w:shd w:val="clear" w:color="auto" w:fill="2A68AC"/>
            <w:vAlign w:val="center"/>
          </w:tcPr>
          <w:p w14:paraId="4C8D548B"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2</w:t>
            </w:r>
          </w:p>
        </w:tc>
        <w:tc>
          <w:tcPr>
            <w:tcW w:w="9708" w:type="dxa"/>
          </w:tcPr>
          <w:p w14:paraId="64F12E23" w14:textId="47EFFF36" w:rsidR="00452DD1" w:rsidRPr="00E82410" w:rsidRDefault="00452DD1" w:rsidP="00452DD1">
            <w:pPr>
              <w:bidi/>
              <w:spacing w:line="400" w:lineRule="exact"/>
              <w:rPr>
                <w:rtl/>
              </w:rPr>
            </w:pPr>
            <w:r w:rsidRPr="00E12038">
              <w:rPr>
                <w:rFonts w:ascii="Neo Sans Arabic Regular" w:hAnsi="Neo Sans Arabic Regular"/>
                <w:color w:val="212529"/>
                <w:rtl/>
              </w:rPr>
              <w:t>يحق للأمانة العامة لمجلس الضمان الصحي أن يقوم مندوبيها بزيارة المنشأة الصحية المتقدمة بطلب الاعتماد، لمراجعة المعلومات التي تقدمت بها لغـرض الاعتماد وتقييم المنشـأة الصحية للنظر في إمكانية الاعتماد النهائي للمنشأة الصحية</w:t>
            </w:r>
            <w:r w:rsidRPr="00E12038">
              <w:rPr>
                <w:rFonts w:ascii="Neo Sans Arabic Regular" w:hAnsi="Neo Sans Arabic Regular"/>
                <w:color w:val="212529"/>
              </w:rPr>
              <w:t>.</w:t>
            </w:r>
          </w:p>
        </w:tc>
      </w:tr>
      <w:tr w:rsidR="00452DD1" w:rsidRPr="00996AB6" w14:paraId="270FE43F" w14:textId="77777777" w:rsidTr="009E4524">
        <w:tc>
          <w:tcPr>
            <w:tcW w:w="634" w:type="dxa"/>
            <w:shd w:val="clear" w:color="auto" w:fill="2A68AC"/>
            <w:vAlign w:val="center"/>
          </w:tcPr>
          <w:p w14:paraId="46216685"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3</w:t>
            </w:r>
          </w:p>
        </w:tc>
        <w:tc>
          <w:tcPr>
            <w:tcW w:w="9708" w:type="dxa"/>
          </w:tcPr>
          <w:p w14:paraId="0A66DBEE" w14:textId="5D1E9C06" w:rsidR="00452DD1" w:rsidRPr="00E82410" w:rsidRDefault="00452DD1" w:rsidP="00452DD1">
            <w:pPr>
              <w:bidi/>
              <w:spacing w:line="400" w:lineRule="exact"/>
              <w:rPr>
                <w:rtl/>
              </w:rPr>
            </w:pPr>
            <w:r w:rsidRPr="00E12038">
              <w:rPr>
                <w:rFonts w:ascii="Calibri" w:hAnsi="Calibri" w:cs="Calibri"/>
                <w:color w:val="212529"/>
              </w:rPr>
              <w:t> </w:t>
            </w:r>
            <w:r w:rsidRPr="00E12038">
              <w:rPr>
                <w:rFonts w:ascii="Neo Sans Arabic Regular" w:hAnsi="Neo Sans Arabic Regular"/>
                <w:color w:val="212529"/>
              </w:rPr>
              <w:t xml:space="preserve"> </w:t>
            </w:r>
            <w:r w:rsidRPr="00E12038">
              <w:rPr>
                <w:rFonts w:ascii="Neo Sans Arabic Regular" w:hAnsi="Neo Sans Arabic Regular"/>
                <w:color w:val="212529"/>
                <w:rtl/>
              </w:rPr>
              <w:t>في حال عدم إمكانية اعتماد المنشأة الصحية يتم إشعارها بذلك</w:t>
            </w:r>
            <w:r w:rsidRPr="00E12038">
              <w:rPr>
                <w:rFonts w:ascii="Neo Sans Arabic Regular" w:hAnsi="Neo Sans Arabic Regular"/>
                <w:color w:val="212529"/>
              </w:rPr>
              <w:t>.</w:t>
            </w:r>
          </w:p>
        </w:tc>
      </w:tr>
      <w:tr w:rsidR="00452DD1" w:rsidRPr="00996AB6" w14:paraId="15D404C5" w14:textId="77777777" w:rsidTr="009E4524">
        <w:tc>
          <w:tcPr>
            <w:tcW w:w="634" w:type="dxa"/>
            <w:shd w:val="clear" w:color="auto" w:fill="2A68AC"/>
            <w:vAlign w:val="center"/>
          </w:tcPr>
          <w:p w14:paraId="27B413DD"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4</w:t>
            </w:r>
          </w:p>
        </w:tc>
        <w:tc>
          <w:tcPr>
            <w:tcW w:w="9708" w:type="dxa"/>
          </w:tcPr>
          <w:p w14:paraId="426AC9FF" w14:textId="7A54711C" w:rsidR="00452DD1" w:rsidRPr="00E82410" w:rsidRDefault="00452DD1" w:rsidP="00452DD1">
            <w:pPr>
              <w:bidi/>
              <w:spacing w:line="400" w:lineRule="exact"/>
              <w:rPr>
                <w:rtl/>
              </w:rPr>
            </w:pPr>
            <w:r w:rsidRPr="00E12038">
              <w:rPr>
                <w:rFonts w:ascii="Neo Sans Arabic Regular" w:hAnsi="Neo Sans Arabic Regular"/>
                <w:color w:val="212529"/>
                <w:rtl/>
              </w:rPr>
              <w:t>في حال انتهاء فترة اعتماد مقدم الخدمة يتم إيقافه من قبل المجلس ومن البوابة الإلكترونية مباشرةً اعتباراً من تاريخ انتهاء فترة الاعتماد</w:t>
            </w:r>
            <w:r w:rsidRPr="00E12038">
              <w:rPr>
                <w:rFonts w:ascii="Neo Sans Arabic Regular" w:hAnsi="Neo Sans Arabic Regular"/>
                <w:color w:val="212529"/>
              </w:rPr>
              <w:t>.</w:t>
            </w:r>
          </w:p>
        </w:tc>
      </w:tr>
      <w:tr w:rsidR="00452DD1" w:rsidRPr="00996AB6" w14:paraId="002D19C6" w14:textId="77777777" w:rsidTr="009E4524">
        <w:tc>
          <w:tcPr>
            <w:tcW w:w="634" w:type="dxa"/>
            <w:shd w:val="clear" w:color="auto" w:fill="2A68AC"/>
            <w:vAlign w:val="center"/>
          </w:tcPr>
          <w:p w14:paraId="01C7B7D6"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5</w:t>
            </w:r>
          </w:p>
        </w:tc>
        <w:tc>
          <w:tcPr>
            <w:tcW w:w="9708" w:type="dxa"/>
          </w:tcPr>
          <w:p w14:paraId="65E43E0B" w14:textId="148444B2" w:rsidR="00452DD1" w:rsidRPr="00E82410" w:rsidRDefault="00452DD1" w:rsidP="00452DD1">
            <w:pPr>
              <w:bidi/>
              <w:spacing w:line="400" w:lineRule="exact"/>
              <w:rPr>
                <w:rtl/>
              </w:rPr>
            </w:pPr>
            <w:r w:rsidRPr="00E12038">
              <w:rPr>
                <w:rFonts w:ascii="Neo Sans Arabic Regular" w:hAnsi="Neo Sans Arabic Regular"/>
                <w:color w:val="212529"/>
                <w:rtl/>
              </w:rPr>
              <w:t>في حال لم يقم مقدم الخدمة بطلب تجديد الاعتماد بعد انتهاء فترة اعتماده، وتعامل مع شركات الـتأمين / شركات إدارة المطالبات فيعتبر مقدم الخدمة مخالف لأحكام نظام الضمان الصحي</w:t>
            </w:r>
            <w:r w:rsidRPr="00E12038">
              <w:rPr>
                <w:rFonts w:ascii="Neo Sans Arabic Regular" w:hAnsi="Neo Sans Arabic Regular"/>
                <w:color w:val="212529"/>
              </w:rPr>
              <w:t xml:space="preserve"> .</w:t>
            </w:r>
          </w:p>
        </w:tc>
      </w:tr>
      <w:tr w:rsidR="00452DD1" w:rsidRPr="00996AB6" w14:paraId="06BBE98A" w14:textId="77777777" w:rsidTr="009E4524">
        <w:tc>
          <w:tcPr>
            <w:tcW w:w="634" w:type="dxa"/>
            <w:shd w:val="clear" w:color="auto" w:fill="2A68AC"/>
            <w:vAlign w:val="center"/>
          </w:tcPr>
          <w:p w14:paraId="5D426904" w14:textId="77777777" w:rsidR="00452DD1" w:rsidRPr="00996AB6" w:rsidRDefault="00452DD1" w:rsidP="00452DD1">
            <w:pPr>
              <w:bidi/>
              <w:jc w:val="center"/>
              <w:rPr>
                <w:rFonts w:ascii="NeoSansArabic" w:eastAsia="Calibri" w:hAnsi="NeoSansArabic" w:cs="NeoSansArabic"/>
                <w:color w:val="FFFFFF"/>
                <w:rtl/>
              </w:rPr>
            </w:pPr>
            <w:r w:rsidRPr="00996AB6">
              <w:rPr>
                <w:rFonts w:ascii="NeoSansArabic" w:eastAsia="Calibri" w:hAnsi="NeoSansArabic" w:cs="NeoSansArabic" w:hint="cs"/>
                <w:color w:val="FFFFFF"/>
                <w:rtl/>
              </w:rPr>
              <w:t>6</w:t>
            </w:r>
          </w:p>
        </w:tc>
        <w:tc>
          <w:tcPr>
            <w:tcW w:w="9708" w:type="dxa"/>
          </w:tcPr>
          <w:p w14:paraId="57C39F1C" w14:textId="640A826B" w:rsidR="00452DD1" w:rsidRPr="00E82410" w:rsidRDefault="00452DD1" w:rsidP="00452DD1">
            <w:pPr>
              <w:bidi/>
              <w:spacing w:line="400" w:lineRule="exact"/>
              <w:rPr>
                <w:rtl/>
              </w:rPr>
            </w:pPr>
            <w:r w:rsidRPr="00E12038">
              <w:rPr>
                <w:rFonts w:ascii="Neo Sans Arabic Regular" w:hAnsi="Neo Sans Arabic Regular"/>
                <w:color w:val="212529"/>
                <w:rtl/>
              </w:rPr>
              <w:t>في حال احتفاظ المنشأة الصحية ممن انتقلت ملكيتها برقم ترخيص</w:t>
            </w:r>
            <w:r>
              <w:rPr>
                <w:rFonts w:ascii="Neo Sans Arabic Regular" w:hAnsi="Neo Sans Arabic Regular" w:hint="cs"/>
                <w:color w:val="212529"/>
                <w:rtl/>
              </w:rPr>
              <w:t xml:space="preserve"> وزارة الصحة</w:t>
            </w:r>
            <w:r>
              <w:rPr>
                <w:rFonts w:ascii="Neo Sans Arabic Regular" w:hAnsi="Neo Sans Arabic Regular"/>
                <w:color w:val="212529"/>
              </w:rPr>
              <w:t>,</w:t>
            </w:r>
            <w:r w:rsidRPr="00E12038">
              <w:rPr>
                <w:rFonts w:ascii="Neo Sans Arabic Regular" w:hAnsi="Neo Sans Arabic Regular"/>
                <w:color w:val="212529"/>
                <w:rtl/>
              </w:rPr>
              <w:t>السابق تحتفظ المنشأة الصحية برقم سجل اعتمادها السابق لدى المجلس</w:t>
            </w:r>
            <w:r w:rsidRPr="00E12038">
              <w:rPr>
                <w:rFonts w:ascii="Neo Sans Arabic Regular" w:hAnsi="Neo Sans Arabic Regular"/>
                <w:color w:val="212529"/>
              </w:rPr>
              <w:t>.</w:t>
            </w:r>
          </w:p>
        </w:tc>
      </w:tr>
      <w:tr w:rsidR="00452DD1" w:rsidRPr="00996AB6" w14:paraId="1DDCD197" w14:textId="77777777" w:rsidTr="009E4524">
        <w:tc>
          <w:tcPr>
            <w:tcW w:w="634" w:type="dxa"/>
            <w:shd w:val="clear" w:color="auto" w:fill="2A68AC"/>
            <w:vAlign w:val="center"/>
          </w:tcPr>
          <w:p w14:paraId="10BB073C" w14:textId="08A62FCC" w:rsidR="00452DD1" w:rsidRPr="00996AB6" w:rsidRDefault="00452DD1"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7</w:t>
            </w:r>
          </w:p>
        </w:tc>
        <w:tc>
          <w:tcPr>
            <w:tcW w:w="9708" w:type="dxa"/>
          </w:tcPr>
          <w:p w14:paraId="72115452" w14:textId="5025604B" w:rsidR="00452DD1" w:rsidRDefault="00452DD1" w:rsidP="00452DD1">
            <w:pPr>
              <w:bidi/>
              <w:spacing w:line="400" w:lineRule="exact"/>
              <w:rPr>
                <w:rtl/>
              </w:rPr>
            </w:pPr>
            <w:r w:rsidRPr="00E12038">
              <w:rPr>
                <w:rFonts w:ascii="Calibri" w:hAnsi="Calibri" w:cs="Calibri"/>
                <w:color w:val="212529"/>
              </w:rPr>
              <w:t> </w:t>
            </w:r>
            <w:r w:rsidRPr="00E12038">
              <w:rPr>
                <w:rFonts w:ascii="Neo Sans Arabic Regular" w:hAnsi="Neo Sans Arabic Regular"/>
                <w:color w:val="212529"/>
                <w:rtl/>
              </w:rPr>
              <w:t xml:space="preserve">في حال تغير رقم ترخيص </w:t>
            </w:r>
            <w:r>
              <w:rPr>
                <w:rFonts w:ascii="Neo Sans Arabic Regular" w:hAnsi="Neo Sans Arabic Regular" w:hint="cs"/>
                <w:color w:val="212529"/>
                <w:rtl/>
              </w:rPr>
              <w:t>وزارة الصحة</w:t>
            </w:r>
            <w:r w:rsidRPr="00E12038">
              <w:rPr>
                <w:rFonts w:ascii="Neo Sans Arabic Regular" w:hAnsi="Neo Sans Arabic Regular"/>
                <w:color w:val="212529"/>
                <w:rtl/>
              </w:rPr>
              <w:t xml:space="preserve"> للمنشأة الصحية ممن احتفظت ملكيتها تحتفظ المنشأة الصحية برقم سجل اعتمادها السابق لدى المجلس</w:t>
            </w:r>
            <w:r w:rsidRPr="00E12038">
              <w:rPr>
                <w:rFonts w:ascii="Neo Sans Arabic Regular" w:hAnsi="Neo Sans Arabic Regular"/>
                <w:color w:val="212529"/>
              </w:rPr>
              <w:t>.</w:t>
            </w:r>
          </w:p>
        </w:tc>
      </w:tr>
      <w:tr w:rsidR="00452DD1" w:rsidRPr="00996AB6" w14:paraId="447E9408" w14:textId="77777777" w:rsidTr="009E4524">
        <w:tc>
          <w:tcPr>
            <w:tcW w:w="634" w:type="dxa"/>
            <w:shd w:val="clear" w:color="auto" w:fill="2A68AC"/>
            <w:vAlign w:val="center"/>
          </w:tcPr>
          <w:p w14:paraId="295B2530" w14:textId="15EBEA28" w:rsidR="00452DD1" w:rsidRPr="00996AB6" w:rsidRDefault="00452DD1"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8</w:t>
            </w:r>
          </w:p>
        </w:tc>
        <w:tc>
          <w:tcPr>
            <w:tcW w:w="9708" w:type="dxa"/>
          </w:tcPr>
          <w:p w14:paraId="28AE5EFB" w14:textId="4F08CEF3" w:rsidR="00452DD1" w:rsidRDefault="00452DD1" w:rsidP="00452DD1">
            <w:pPr>
              <w:bidi/>
              <w:spacing w:line="400" w:lineRule="exact"/>
              <w:rPr>
                <w:rtl/>
              </w:rPr>
            </w:pPr>
            <w:r w:rsidRPr="00E12038">
              <w:rPr>
                <w:rFonts w:ascii="Neo Sans Arabic Regular" w:hAnsi="Neo Sans Arabic Regular"/>
                <w:color w:val="212529"/>
                <w:rtl/>
              </w:rPr>
              <w:t>في حال تغير رقم ترخيص</w:t>
            </w:r>
            <w:r>
              <w:rPr>
                <w:rFonts w:ascii="Neo Sans Arabic Regular" w:hAnsi="Neo Sans Arabic Regular" w:hint="cs"/>
                <w:color w:val="212529"/>
                <w:rtl/>
              </w:rPr>
              <w:t xml:space="preserve"> وزارة الصحة</w:t>
            </w:r>
            <w:r w:rsidRPr="00E12038">
              <w:rPr>
                <w:rFonts w:ascii="Neo Sans Arabic Regular" w:hAnsi="Neo Sans Arabic Regular"/>
                <w:color w:val="212529"/>
                <w:rtl/>
              </w:rPr>
              <w:t xml:space="preserve"> للمنشأة الصحية ممن انتقلت ملكيتها فتعطى رقم سجل اعتماد جديد لدى المجلس ويتم إلغاء سجل اعتمادها السابق</w:t>
            </w:r>
            <w:r w:rsidRPr="00E12038">
              <w:rPr>
                <w:rFonts w:ascii="Neo Sans Arabic Regular" w:hAnsi="Neo Sans Arabic Regular"/>
                <w:color w:val="212529"/>
              </w:rPr>
              <w:t>.</w:t>
            </w:r>
          </w:p>
        </w:tc>
      </w:tr>
      <w:tr w:rsidR="00452DD1" w:rsidRPr="00996AB6" w14:paraId="21CE9FDB" w14:textId="77777777" w:rsidTr="009E4524">
        <w:tc>
          <w:tcPr>
            <w:tcW w:w="634" w:type="dxa"/>
            <w:shd w:val="clear" w:color="auto" w:fill="2A68AC"/>
            <w:vAlign w:val="center"/>
          </w:tcPr>
          <w:p w14:paraId="0E063D1E" w14:textId="32B5DA91" w:rsidR="00452DD1" w:rsidRPr="00996AB6" w:rsidRDefault="00452DD1"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w:t>
            </w:r>
          </w:p>
        </w:tc>
        <w:tc>
          <w:tcPr>
            <w:tcW w:w="9708" w:type="dxa"/>
          </w:tcPr>
          <w:p w14:paraId="2063700E" w14:textId="1FF82F19" w:rsidR="00452DD1" w:rsidRPr="00E82410" w:rsidRDefault="00452DD1" w:rsidP="00452DD1">
            <w:pPr>
              <w:bidi/>
              <w:spacing w:line="400" w:lineRule="exact"/>
              <w:rPr>
                <w:rtl/>
              </w:rPr>
            </w:pPr>
            <w:r w:rsidRPr="00E12038">
              <w:rPr>
                <w:rFonts w:ascii="Calibri" w:hAnsi="Calibri" w:cs="Calibri"/>
                <w:color w:val="212529"/>
              </w:rPr>
              <w:t> </w:t>
            </w:r>
            <w:r w:rsidRPr="00E12038">
              <w:rPr>
                <w:rFonts w:ascii="Neo Sans Arabic Regular" w:hAnsi="Neo Sans Arabic Regular"/>
                <w:color w:val="212529"/>
              </w:rPr>
              <w:t xml:space="preserve"> </w:t>
            </w:r>
            <w:r w:rsidRPr="00E12038">
              <w:rPr>
                <w:rFonts w:ascii="Neo Sans Arabic Regular" w:hAnsi="Neo Sans Arabic Regular"/>
                <w:color w:val="212529"/>
                <w:rtl/>
              </w:rPr>
              <w:t>يجوز للمجلس إلغاء اعتماد مقدم الخدمة بموجب قرار من قبل رئيس المجلس ، وذلك في الحالات التالية</w:t>
            </w:r>
            <w:r w:rsidRPr="00E12038">
              <w:rPr>
                <w:rFonts w:ascii="Neo Sans Arabic Regular" w:hAnsi="Neo Sans Arabic Regular"/>
                <w:color w:val="212529"/>
              </w:rPr>
              <w:t>:</w:t>
            </w:r>
          </w:p>
        </w:tc>
      </w:tr>
      <w:tr w:rsidR="00452DD1" w:rsidRPr="00996AB6" w14:paraId="652F1C0B" w14:textId="77777777" w:rsidTr="009E4524">
        <w:tc>
          <w:tcPr>
            <w:tcW w:w="634" w:type="dxa"/>
            <w:shd w:val="clear" w:color="auto" w:fill="2A68AC"/>
            <w:vAlign w:val="center"/>
          </w:tcPr>
          <w:p w14:paraId="3DDF3733" w14:textId="75427BD7" w:rsidR="00452DD1" w:rsidRDefault="00452DD1" w:rsidP="00452DD1">
            <w:pPr>
              <w:bidi/>
              <w:rPr>
                <w:rFonts w:ascii="NeoSansArabic" w:eastAsia="Calibri" w:hAnsi="NeoSansArabic" w:cs="NeoSansArabic"/>
                <w:color w:val="FFFFFF"/>
                <w:rtl/>
              </w:rPr>
            </w:pPr>
            <w:r>
              <w:rPr>
                <w:rFonts w:ascii="NeoSansArabic" w:eastAsia="Calibri" w:hAnsi="NeoSansArabic" w:cs="NeoSansArabic" w:hint="cs"/>
                <w:color w:val="FFFFFF"/>
                <w:rtl/>
              </w:rPr>
              <w:t>9.1</w:t>
            </w:r>
          </w:p>
        </w:tc>
        <w:tc>
          <w:tcPr>
            <w:tcW w:w="9708" w:type="dxa"/>
          </w:tcPr>
          <w:p w14:paraId="375579D1" w14:textId="4A4F05D0" w:rsidR="00452DD1" w:rsidRDefault="00452DD1" w:rsidP="00452DD1">
            <w:pPr>
              <w:bidi/>
              <w:spacing w:line="400" w:lineRule="exact"/>
            </w:pPr>
            <w:r w:rsidRPr="00E12038">
              <w:rPr>
                <w:rFonts w:ascii="Calibri" w:hAnsi="Calibri" w:cs="Calibri"/>
                <w:color w:val="212529"/>
              </w:rPr>
              <w:t>​</w:t>
            </w:r>
            <w:r w:rsidRPr="00E12038">
              <w:rPr>
                <w:rFonts w:ascii="Neo Sans Arabic Regular" w:hAnsi="Neo Sans Arabic Regular"/>
                <w:color w:val="212529"/>
                <w:rtl/>
              </w:rPr>
              <w:t>إلغاء أو سحب ترخيص وزارة الصحة</w:t>
            </w:r>
            <w:r w:rsidRPr="00E12038">
              <w:rPr>
                <w:rFonts w:ascii="Neo Sans Arabic Regular" w:hAnsi="Neo Sans Arabic Regular"/>
                <w:color w:val="212529"/>
              </w:rPr>
              <w:t>.</w:t>
            </w:r>
          </w:p>
        </w:tc>
      </w:tr>
      <w:tr w:rsidR="00452DD1" w:rsidRPr="00996AB6" w14:paraId="54426AFD" w14:textId="77777777" w:rsidTr="009E4524">
        <w:tc>
          <w:tcPr>
            <w:tcW w:w="634" w:type="dxa"/>
            <w:shd w:val="clear" w:color="auto" w:fill="2A68AC"/>
            <w:vAlign w:val="center"/>
          </w:tcPr>
          <w:p w14:paraId="63B02719" w14:textId="762388DA" w:rsidR="00452DD1" w:rsidRDefault="00452DD1"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9.2</w:t>
            </w:r>
          </w:p>
        </w:tc>
        <w:tc>
          <w:tcPr>
            <w:tcW w:w="9708" w:type="dxa"/>
          </w:tcPr>
          <w:p w14:paraId="77D8D3CE" w14:textId="197A9F82" w:rsidR="00452DD1" w:rsidRDefault="00452DD1" w:rsidP="00452DD1">
            <w:pPr>
              <w:bidi/>
              <w:spacing w:line="400" w:lineRule="exact"/>
              <w:rPr>
                <w:rtl/>
              </w:rPr>
            </w:pPr>
            <w:r w:rsidRPr="00E12038">
              <w:rPr>
                <w:rFonts w:ascii="Calibri" w:hAnsi="Calibri" w:cs="Calibri"/>
                <w:color w:val="212529"/>
              </w:rPr>
              <w:t> </w:t>
            </w:r>
            <w:r w:rsidRPr="00E12038">
              <w:rPr>
                <w:rFonts w:ascii="Neo Sans Arabic Regular" w:hAnsi="Neo Sans Arabic Regular"/>
                <w:color w:val="212529"/>
                <w:rtl/>
              </w:rPr>
              <w:t>وجود ما يثبت الإخلال باشتراطات الاعتماد</w:t>
            </w:r>
            <w:r w:rsidRPr="00E12038">
              <w:rPr>
                <w:rFonts w:ascii="Neo Sans Arabic Regular" w:hAnsi="Neo Sans Arabic Regular"/>
                <w:color w:val="212529"/>
              </w:rPr>
              <w:t>.</w:t>
            </w:r>
          </w:p>
        </w:tc>
      </w:tr>
      <w:tr w:rsidR="00452DD1" w:rsidRPr="00996AB6" w14:paraId="5E22B197" w14:textId="77777777" w:rsidTr="009E4524">
        <w:tc>
          <w:tcPr>
            <w:tcW w:w="634" w:type="dxa"/>
            <w:shd w:val="clear" w:color="auto" w:fill="2A68AC"/>
            <w:vAlign w:val="center"/>
          </w:tcPr>
          <w:p w14:paraId="2B080BCD" w14:textId="1C02260E" w:rsidR="00452DD1" w:rsidRPr="00996AB6" w:rsidRDefault="00452DD1"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9.3</w:t>
            </w:r>
          </w:p>
        </w:tc>
        <w:tc>
          <w:tcPr>
            <w:tcW w:w="9708" w:type="dxa"/>
          </w:tcPr>
          <w:p w14:paraId="6EB984A5" w14:textId="4E9558CA" w:rsidR="00452DD1" w:rsidRPr="00E82410" w:rsidRDefault="00452DD1" w:rsidP="00452DD1">
            <w:pPr>
              <w:bidi/>
              <w:spacing w:line="400" w:lineRule="exact"/>
              <w:rPr>
                <w:rtl/>
              </w:rPr>
            </w:pPr>
            <w:r w:rsidRPr="00E12038">
              <w:rPr>
                <w:rFonts w:ascii="Neo Sans Arabic Regular" w:hAnsi="Neo Sans Arabic Regular"/>
                <w:color w:val="212529"/>
                <w:rtl/>
              </w:rPr>
              <w:t>تزويد المجلس بمعلومات أو بيانات غير صحيحة</w:t>
            </w:r>
            <w:r w:rsidRPr="00E12038">
              <w:rPr>
                <w:rFonts w:ascii="Neo Sans Arabic Regular" w:hAnsi="Neo Sans Arabic Regular"/>
                <w:color w:val="212529"/>
              </w:rPr>
              <w:t>.</w:t>
            </w:r>
          </w:p>
        </w:tc>
      </w:tr>
      <w:tr w:rsidR="00452DD1" w:rsidRPr="00996AB6" w14:paraId="0F635D8B" w14:textId="77777777" w:rsidTr="009E4524">
        <w:tc>
          <w:tcPr>
            <w:tcW w:w="634" w:type="dxa"/>
            <w:shd w:val="clear" w:color="auto" w:fill="2A68AC"/>
            <w:vAlign w:val="center"/>
          </w:tcPr>
          <w:p w14:paraId="7403CD3D" w14:textId="6ADCC129" w:rsidR="00452DD1" w:rsidRPr="00996AB6" w:rsidRDefault="00E66E0A" w:rsidP="00452DD1">
            <w:pPr>
              <w:bidi/>
              <w:jc w:val="center"/>
              <w:rPr>
                <w:rFonts w:ascii="NeoSansArabic" w:eastAsia="Calibri" w:hAnsi="NeoSansArabic" w:cs="NeoSansArabic"/>
                <w:color w:val="FFFFFF"/>
                <w:rtl/>
              </w:rPr>
            </w:pPr>
            <w:bookmarkStart w:id="0" w:name="_Hlk157079584"/>
            <w:r>
              <w:rPr>
                <w:rFonts w:ascii="NeoSansArabic" w:eastAsia="Calibri" w:hAnsi="NeoSansArabic" w:cs="NeoSansArabic" w:hint="cs"/>
                <w:color w:val="FFFFFF"/>
                <w:rtl/>
              </w:rPr>
              <w:t>9.4</w:t>
            </w:r>
          </w:p>
        </w:tc>
        <w:tc>
          <w:tcPr>
            <w:tcW w:w="9708" w:type="dxa"/>
          </w:tcPr>
          <w:p w14:paraId="50E57FC4" w14:textId="527C25E8" w:rsidR="00452DD1" w:rsidRPr="00E82410" w:rsidRDefault="00452DD1" w:rsidP="00452DD1">
            <w:pPr>
              <w:bidi/>
              <w:spacing w:line="400" w:lineRule="exact"/>
              <w:rPr>
                <w:rtl/>
              </w:rPr>
            </w:pPr>
            <w:r w:rsidRPr="00E12038">
              <w:rPr>
                <w:rFonts w:ascii="Neo Sans Arabic Regular" w:hAnsi="Neo Sans Arabic Regular"/>
                <w:color w:val="212529"/>
                <w:rtl/>
              </w:rPr>
              <w:t>حصول المجلس على معلومات تشير إلى عدم قدرة مقدم الخدمة على الحفاظ على صحة المستفيدين</w:t>
            </w:r>
            <w:r w:rsidRPr="00E12038">
              <w:rPr>
                <w:rFonts w:ascii="Neo Sans Arabic Regular" w:hAnsi="Neo Sans Arabic Regular"/>
                <w:color w:val="212529"/>
              </w:rPr>
              <w:t>.</w:t>
            </w:r>
          </w:p>
        </w:tc>
      </w:tr>
      <w:tr w:rsidR="00452DD1" w:rsidRPr="00996AB6" w14:paraId="660DE3F1" w14:textId="77777777" w:rsidTr="009E4524">
        <w:tc>
          <w:tcPr>
            <w:tcW w:w="634" w:type="dxa"/>
            <w:shd w:val="clear" w:color="auto" w:fill="2A68AC"/>
            <w:vAlign w:val="center"/>
          </w:tcPr>
          <w:p w14:paraId="72086114" w14:textId="1F803586" w:rsidR="00452DD1" w:rsidRPr="00996AB6" w:rsidRDefault="00E66E0A"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9.5</w:t>
            </w:r>
          </w:p>
        </w:tc>
        <w:tc>
          <w:tcPr>
            <w:tcW w:w="9708" w:type="dxa"/>
            <w:shd w:val="clear" w:color="auto" w:fill="F2F2F2"/>
          </w:tcPr>
          <w:p w14:paraId="46813653" w14:textId="7FC71E07" w:rsidR="00452DD1" w:rsidRPr="00E82410" w:rsidRDefault="00452DD1" w:rsidP="00452DD1">
            <w:pPr>
              <w:bidi/>
              <w:spacing w:line="400" w:lineRule="exact"/>
              <w:rPr>
                <w:rtl/>
              </w:rPr>
            </w:pPr>
            <w:r w:rsidRPr="00E12038">
              <w:rPr>
                <w:rFonts w:ascii="Neo Sans Arabic Regular" w:hAnsi="Neo Sans Arabic Regular"/>
                <w:color w:val="212529"/>
                <w:rtl/>
              </w:rPr>
              <w:t>ارتكاب حالات احتيال أو إساءة استخدام أو المساهمة فيها أو تسهيلها أو ثبوت تقصير أو إهمال جسيم</w:t>
            </w:r>
            <w:r w:rsidRPr="00E12038">
              <w:rPr>
                <w:rFonts w:ascii="Neo Sans Arabic Regular" w:hAnsi="Neo Sans Arabic Regular"/>
                <w:color w:val="212529"/>
              </w:rPr>
              <w:t>.</w:t>
            </w:r>
          </w:p>
        </w:tc>
      </w:tr>
      <w:tr w:rsidR="00452DD1" w:rsidRPr="00996AB6" w14:paraId="1DF2489D" w14:textId="77777777" w:rsidTr="009E4524">
        <w:tc>
          <w:tcPr>
            <w:tcW w:w="634" w:type="dxa"/>
            <w:shd w:val="clear" w:color="auto" w:fill="2A68AC"/>
            <w:vAlign w:val="center"/>
          </w:tcPr>
          <w:p w14:paraId="3DEE93EE" w14:textId="0266B406" w:rsidR="00452DD1" w:rsidRPr="00996AB6" w:rsidRDefault="00E66E0A"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9.6</w:t>
            </w:r>
          </w:p>
        </w:tc>
        <w:tc>
          <w:tcPr>
            <w:tcW w:w="9708" w:type="dxa"/>
            <w:shd w:val="clear" w:color="auto" w:fill="F2F2F2"/>
          </w:tcPr>
          <w:p w14:paraId="04ADE336" w14:textId="14D7F033" w:rsidR="00452DD1" w:rsidRPr="00E82410" w:rsidRDefault="00452DD1" w:rsidP="00452DD1">
            <w:pPr>
              <w:bidi/>
              <w:spacing w:line="400" w:lineRule="exact"/>
              <w:jc w:val="both"/>
              <w:rPr>
                <w:rtl/>
              </w:rPr>
            </w:pPr>
            <w:r w:rsidRPr="00E12038">
              <w:rPr>
                <w:rFonts w:ascii="Neo Sans Arabic Regular" w:hAnsi="Neo Sans Arabic Regular"/>
                <w:color w:val="212529"/>
                <w:rtl/>
              </w:rPr>
              <w:t>عدم تقديم ما يفيد تطبيق معايير ومتطلبات الجودة المنصوص عليها في الفصل التاسع من هذه اللائحة</w:t>
            </w:r>
            <w:r w:rsidRPr="00E12038">
              <w:rPr>
                <w:rFonts w:ascii="Neo Sans Arabic Regular" w:hAnsi="Neo Sans Arabic Regular"/>
                <w:color w:val="212529"/>
              </w:rPr>
              <w:t>.</w:t>
            </w:r>
          </w:p>
        </w:tc>
      </w:tr>
      <w:tr w:rsidR="00452DD1" w:rsidRPr="00996AB6" w14:paraId="684287B5" w14:textId="77777777" w:rsidTr="009E4524">
        <w:tc>
          <w:tcPr>
            <w:tcW w:w="634" w:type="dxa"/>
            <w:shd w:val="clear" w:color="auto" w:fill="2A68AC"/>
            <w:vAlign w:val="center"/>
          </w:tcPr>
          <w:p w14:paraId="72D87923" w14:textId="726A1835" w:rsidR="00452DD1" w:rsidRPr="00996AB6" w:rsidRDefault="00E66E0A"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9.7</w:t>
            </w:r>
          </w:p>
        </w:tc>
        <w:tc>
          <w:tcPr>
            <w:tcW w:w="9708" w:type="dxa"/>
            <w:shd w:val="clear" w:color="auto" w:fill="F2F2F2"/>
          </w:tcPr>
          <w:p w14:paraId="75AC2634" w14:textId="3B269F88" w:rsidR="00452DD1" w:rsidRPr="00E82410" w:rsidRDefault="00452DD1" w:rsidP="00452DD1">
            <w:pPr>
              <w:bidi/>
              <w:spacing w:line="400" w:lineRule="exact"/>
              <w:rPr>
                <w:rtl/>
              </w:rPr>
            </w:pPr>
            <w:r w:rsidRPr="00E12038">
              <w:rPr>
                <w:rFonts w:ascii="Neo Sans Arabic Regular" w:hAnsi="Neo Sans Arabic Regular"/>
                <w:color w:val="212529"/>
                <w:rtl/>
              </w:rPr>
              <w:t>عدم دفع المقابل المالي لتجديد الاعتماد</w:t>
            </w:r>
            <w:r w:rsidRPr="00E12038">
              <w:rPr>
                <w:rFonts w:ascii="Neo Sans Arabic Regular" w:hAnsi="Neo Sans Arabic Regular"/>
                <w:color w:val="212529"/>
              </w:rPr>
              <w:t>.</w:t>
            </w:r>
          </w:p>
        </w:tc>
      </w:tr>
      <w:tr w:rsidR="00452DD1" w:rsidRPr="00996AB6" w14:paraId="26FAB3EB" w14:textId="77777777" w:rsidTr="009E4524">
        <w:tc>
          <w:tcPr>
            <w:tcW w:w="634" w:type="dxa"/>
            <w:shd w:val="clear" w:color="auto" w:fill="2A68AC"/>
            <w:vAlign w:val="center"/>
          </w:tcPr>
          <w:p w14:paraId="5B5D1D78" w14:textId="31F52F68" w:rsidR="00452DD1" w:rsidRPr="00996AB6" w:rsidRDefault="00E66E0A"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9.8</w:t>
            </w:r>
          </w:p>
        </w:tc>
        <w:tc>
          <w:tcPr>
            <w:tcW w:w="9708" w:type="dxa"/>
            <w:shd w:val="clear" w:color="auto" w:fill="F2F2F2"/>
          </w:tcPr>
          <w:p w14:paraId="1E4061F5" w14:textId="53C2F76D" w:rsidR="00452DD1" w:rsidRPr="00E82410" w:rsidRDefault="00452DD1" w:rsidP="00452DD1">
            <w:pPr>
              <w:bidi/>
              <w:spacing w:line="400" w:lineRule="exact"/>
              <w:rPr>
                <w:rtl/>
              </w:rPr>
            </w:pPr>
            <w:r w:rsidRPr="00E12038">
              <w:rPr>
                <w:rFonts w:ascii="Neo Sans Arabic Regular" w:hAnsi="Neo Sans Arabic Regular"/>
                <w:color w:val="212529"/>
                <w:rtl/>
              </w:rPr>
              <w:t>عدم التقيد بضوابط ومتطلبات التعاملات الإلكترونية المقرة من المجلس</w:t>
            </w:r>
            <w:r w:rsidRPr="00E12038">
              <w:rPr>
                <w:rFonts w:ascii="Neo Sans Arabic Regular" w:hAnsi="Neo Sans Arabic Regular"/>
                <w:color w:val="212529"/>
              </w:rPr>
              <w:t>.</w:t>
            </w:r>
          </w:p>
        </w:tc>
      </w:tr>
      <w:tr w:rsidR="00452DD1" w:rsidRPr="00996AB6" w14:paraId="5DC79ABC" w14:textId="77777777" w:rsidTr="009E4524">
        <w:tc>
          <w:tcPr>
            <w:tcW w:w="634" w:type="dxa"/>
            <w:shd w:val="clear" w:color="auto" w:fill="2A68AC"/>
            <w:vAlign w:val="center"/>
          </w:tcPr>
          <w:p w14:paraId="7AD515E2" w14:textId="1575D95B" w:rsidR="00452DD1" w:rsidRPr="00996AB6" w:rsidRDefault="00E66E0A" w:rsidP="00E66E0A">
            <w:pPr>
              <w:bidi/>
              <w:rPr>
                <w:rFonts w:ascii="NeoSansArabic" w:eastAsia="Calibri" w:hAnsi="NeoSansArabic" w:cs="NeoSansArabic"/>
                <w:color w:val="FFFFFF"/>
              </w:rPr>
            </w:pPr>
            <w:r>
              <w:rPr>
                <w:rFonts w:ascii="NeoSansArabic" w:eastAsia="Calibri" w:hAnsi="NeoSansArabic" w:cs="NeoSansArabic" w:hint="cs"/>
                <w:color w:val="FFFFFF"/>
                <w:rtl/>
              </w:rPr>
              <w:t>9.9</w:t>
            </w:r>
          </w:p>
        </w:tc>
        <w:tc>
          <w:tcPr>
            <w:tcW w:w="9708" w:type="dxa"/>
            <w:shd w:val="clear" w:color="auto" w:fill="F2F2F2"/>
          </w:tcPr>
          <w:p w14:paraId="5BB5854C" w14:textId="799AF453" w:rsidR="00452DD1" w:rsidRPr="00E82410" w:rsidRDefault="00452DD1" w:rsidP="00452DD1">
            <w:pPr>
              <w:bidi/>
              <w:spacing w:line="400" w:lineRule="exact"/>
              <w:rPr>
                <w:rtl/>
              </w:rPr>
            </w:pPr>
            <w:r w:rsidRPr="00E12038">
              <w:rPr>
                <w:rFonts w:ascii="Neo Sans Arabic Regular" w:hAnsi="Neo Sans Arabic Regular"/>
                <w:color w:val="212529"/>
                <w:rtl/>
              </w:rPr>
              <w:t>رفض أو إعاقة مقدم الخدمة أداء مهام فريق الزيارات الميدانية الإشرافية التابع للمجلس لعمله عند التفتيش عليه</w:t>
            </w:r>
            <w:r w:rsidRPr="00E12038">
              <w:rPr>
                <w:rFonts w:ascii="Neo Sans Arabic Regular" w:hAnsi="Neo Sans Arabic Regular"/>
                <w:color w:val="212529"/>
              </w:rPr>
              <w:t>.</w:t>
            </w:r>
          </w:p>
        </w:tc>
      </w:tr>
      <w:tr w:rsidR="00452DD1" w:rsidRPr="00996AB6" w14:paraId="7C093D19" w14:textId="77777777" w:rsidTr="009E4524">
        <w:tc>
          <w:tcPr>
            <w:tcW w:w="634" w:type="dxa"/>
            <w:shd w:val="clear" w:color="auto" w:fill="2A68AC"/>
            <w:vAlign w:val="center"/>
          </w:tcPr>
          <w:p w14:paraId="4D880E3D" w14:textId="68C45247" w:rsidR="00452DD1" w:rsidRPr="00996AB6" w:rsidRDefault="00E66E0A" w:rsidP="00452DD1">
            <w:pPr>
              <w:bidi/>
              <w:jc w:val="center"/>
              <w:rPr>
                <w:rFonts w:ascii="NeoSansArabic" w:eastAsia="Calibri" w:hAnsi="NeoSansArabic" w:cs="NeoSansArabic"/>
                <w:color w:val="FFFFFF"/>
                <w:rtl/>
              </w:rPr>
            </w:pPr>
            <w:r>
              <w:rPr>
                <w:rFonts w:ascii="NeoSansArabic" w:eastAsia="Calibri" w:hAnsi="NeoSansArabic" w:cs="NeoSansArabic" w:hint="cs"/>
                <w:color w:val="FFFFFF"/>
                <w:rtl/>
              </w:rPr>
              <w:t>9.10</w:t>
            </w:r>
          </w:p>
        </w:tc>
        <w:tc>
          <w:tcPr>
            <w:tcW w:w="9708" w:type="dxa"/>
            <w:shd w:val="clear" w:color="auto" w:fill="F2F2F2"/>
          </w:tcPr>
          <w:p w14:paraId="7797223C" w14:textId="489C0B4A" w:rsidR="00452DD1" w:rsidRPr="00E82410" w:rsidRDefault="00452DD1" w:rsidP="00452DD1">
            <w:pPr>
              <w:bidi/>
              <w:spacing w:line="400" w:lineRule="exact"/>
              <w:jc w:val="both"/>
              <w:rPr>
                <w:rtl/>
              </w:rPr>
            </w:pPr>
            <w:r w:rsidRPr="00E12038">
              <w:rPr>
                <w:rFonts w:ascii="Neo Sans Arabic Regular" w:hAnsi="Neo Sans Arabic Regular"/>
                <w:color w:val="212529"/>
                <w:rtl/>
              </w:rPr>
              <w:t>وفي حال إيقاف أو إلغاء الاعتماد يقوم المجلس بإخطار شركات التأمين وشركات إدارة مطالبات التأمين الصحي</w:t>
            </w:r>
            <w:r w:rsidRPr="00E12038">
              <w:rPr>
                <w:rFonts w:ascii="Neo Sans Arabic Regular" w:hAnsi="Neo Sans Arabic Regular"/>
                <w:color w:val="212529"/>
              </w:rPr>
              <w:t xml:space="preserve"> (TPA) </w:t>
            </w:r>
            <w:r w:rsidRPr="00E12038">
              <w:rPr>
                <w:rFonts w:ascii="Neo Sans Arabic Regular" w:hAnsi="Neo Sans Arabic Regular"/>
                <w:color w:val="212529"/>
                <w:rtl/>
              </w:rPr>
              <w:t>بذلك</w:t>
            </w:r>
          </w:p>
        </w:tc>
      </w:tr>
      <w:bookmarkEnd w:id="0"/>
    </w:tbl>
    <w:p w14:paraId="49158B1E" w14:textId="77777777" w:rsidR="00996AB6" w:rsidRPr="00996AB6" w:rsidRDefault="00996AB6" w:rsidP="00996AB6">
      <w:pPr>
        <w:bidi/>
        <w:rPr>
          <w:rFonts w:ascii="Calibri" w:eastAsia="Calibri" w:hAnsi="Calibri" w:cs="Arial"/>
          <w:sz w:val="32"/>
          <w:szCs w:val="32"/>
          <w:rtl/>
        </w:rPr>
      </w:pPr>
    </w:p>
    <w:p w14:paraId="702A615E" w14:textId="7ECE3870" w:rsidR="005F60C9" w:rsidRDefault="005F60C9" w:rsidP="00B42DDD">
      <w:pPr>
        <w:bidi/>
        <w:rPr>
          <w:rtl/>
        </w:rPr>
      </w:pPr>
    </w:p>
    <w:sectPr w:rsidR="005F60C9" w:rsidSect="005159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6C5C" w14:textId="77777777" w:rsidR="00957D25" w:rsidRDefault="00957D25" w:rsidP="0097525C">
      <w:pPr>
        <w:spacing w:after="0" w:line="240" w:lineRule="auto"/>
      </w:pPr>
      <w:r>
        <w:separator/>
      </w:r>
    </w:p>
  </w:endnote>
  <w:endnote w:type="continuationSeparator" w:id="0">
    <w:p w14:paraId="1510F1D3" w14:textId="77777777" w:rsidR="00957D25" w:rsidRDefault="00957D25" w:rsidP="0097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SansArabic">
    <w:altName w:val="Arial"/>
    <w:charset w:val="B2"/>
    <w:family w:val="swiss"/>
    <w:pitch w:val="variable"/>
    <w:sig w:usb0="800020AF" w:usb1="C000A04A" w:usb2="00000008" w:usb3="00000000" w:csb0="00000041" w:csb1="00000000"/>
  </w:font>
  <w:font w:name="Neo Sans Arabic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02C3" w14:textId="77777777" w:rsidR="00957D25" w:rsidRDefault="00957D25" w:rsidP="0097525C">
      <w:pPr>
        <w:spacing w:after="0" w:line="240" w:lineRule="auto"/>
      </w:pPr>
      <w:r>
        <w:separator/>
      </w:r>
    </w:p>
  </w:footnote>
  <w:footnote w:type="continuationSeparator" w:id="0">
    <w:p w14:paraId="2A18FFDA" w14:textId="77777777" w:rsidR="00957D25" w:rsidRDefault="00957D25" w:rsidP="0097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BD94" w14:textId="77777777" w:rsidR="0097525C" w:rsidRDefault="0097525C">
    <w:pPr>
      <w:pStyle w:val="Header"/>
    </w:pPr>
    <w:r w:rsidRPr="0097525C">
      <w:rPr>
        <w:rFonts w:cs="Calibri"/>
        <w:color w:val="0303FE"/>
        <w:sz w:val="20"/>
        <w:szCs w:val="20"/>
        <w:rtl/>
      </w:rPr>
      <w:t>مجلس</w:t>
    </w:r>
    <w:r w:rsidRPr="0097525C">
      <w:rPr>
        <w:color w:val="0303FE"/>
        <w:sz w:val="20"/>
      </w:rPr>
      <w:t xml:space="preserve"> </w:t>
    </w:r>
    <w:r w:rsidRPr="0097525C">
      <w:rPr>
        <w:rFonts w:cs="Calibri"/>
        <w:color w:val="0303FE"/>
        <w:sz w:val="20"/>
        <w:szCs w:val="20"/>
        <w:rtl/>
      </w:rPr>
      <w:t>الضمان</w:t>
    </w:r>
    <w:r w:rsidRPr="0097525C">
      <w:rPr>
        <w:color w:val="0303FE"/>
        <w:sz w:val="20"/>
      </w:rPr>
      <w:t xml:space="preserve"> </w:t>
    </w:r>
    <w:r w:rsidRPr="0097525C">
      <w:rPr>
        <w:rFonts w:cs="Calibri"/>
        <w:color w:val="0303FE"/>
        <w:sz w:val="20"/>
        <w:szCs w:val="20"/>
        <w:rtl/>
      </w:rPr>
      <w:t>الصحي</w:t>
    </w:r>
    <w:r w:rsidRPr="0097525C">
      <w:rPr>
        <w:color w:val="0303FE"/>
        <w:sz w:val="20"/>
      </w:rPr>
      <w:t xml:space="preserve"> </w:t>
    </w:r>
    <w:r w:rsidRPr="0097525C">
      <w:rPr>
        <w:rFonts w:cs="Calibri"/>
        <w:color w:val="0303FE"/>
        <w:sz w:val="20"/>
        <w:szCs w:val="20"/>
        <w:rtl/>
      </w:rPr>
      <w:t>مقيد</w:t>
    </w:r>
    <w:r w:rsidRPr="0097525C">
      <w:rPr>
        <w:color w:val="0303FE"/>
        <w:sz w:val="20"/>
      </w:rPr>
      <w:t xml:space="preserve"> / Council of Health Insurance -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مقيد / Confidential"/>
    <w:docVar w:name="ClassificationTagSetId" w:val="e16409a7-1700-4153-9090-3955bc2f0ae8"/>
    <w:docVar w:name="ComplianceTagSetId" w:val="f14fc1f1-8950-40d5-8a29-45909da947d6"/>
    <w:docVar w:name="FileId" w:val="6192f5fe-e0ac-4025-a8fe-ed5a77febf34"/>
    <w:docVar w:name="GVData" w:val="ew0KICAiZG9jSUQiOiAiNjE5MmY1ZmUtZTBhYy00MDI1LWE4ZmUtZWQ1YTc3ZmViZjM0IiwNCiAgInRhZ3NldF9lMTY0MDlhN18xNzAwXzQxNTNfOTA5MF8zOTU1YmMyZjBhZThfY2xhc3NpZmljYXRpb24iOiAiQ29uZmlkZW50aWFsIg0KfQ=="/>
    <w:docVar w:name="GVData0" w:val="(end)"/>
    <w:docVar w:name="GVData1" w:val="XHUwNjRBIFx1MDY0NVx1MDY0Mlx1MDY0QVx1MDYyRiAvIENvdW5jaWwgb2YgSGVhbHRoIEluc3VyYW5jZSAtIENvbmZpZGVudGlhbFx1MDAzQy9zcGFuXHUwMDNFXHUwMDNDL3NwYW5cdTAwM0UiDQp9"/>
    <w:docVar w:name="GVData2" w:val="(end)"/>
    <w:docVar w:name="TagDateTime" w:val="2023-04-04T11:13:25Z"/>
    <w:docVar w:name="UserId" w:val="Razan Almukhlifi"/>
  </w:docVars>
  <w:rsids>
    <w:rsidRoot w:val="00996AB6"/>
    <w:rsid w:val="00022A41"/>
    <w:rsid w:val="00061C87"/>
    <w:rsid w:val="00126FAA"/>
    <w:rsid w:val="001752F3"/>
    <w:rsid w:val="00374449"/>
    <w:rsid w:val="00452DD1"/>
    <w:rsid w:val="00460401"/>
    <w:rsid w:val="004F2193"/>
    <w:rsid w:val="005037C9"/>
    <w:rsid w:val="005159EF"/>
    <w:rsid w:val="005F60C9"/>
    <w:rsid w:val="006A62AA"/>
    <w:rsid w:val="00810F6C"/>
    <w:rsid w:val="00837DEA"/>
    <w:rsid w:val="00957D25"/>
    <w:rsid w:val="0097525C"/>
    <w:rsid w:val="00996AB6"/>
    <w:rsid w:val="00B42DDD"/>
    <w:rsid w:val="00B5711D"/>
    <w:rsid w:val="00B86280"/>
    <w:rsid w:val="00B938AD"/>
    <w:rsid w:val="00DC1E47"/>
    <w:rsid w:val="00E66E0A"/>
    <w:rsid w:val="00E82410"/>
    <w:rsid w:val="00EA72BF"/>
    <w:rsid w:val="00ED03BB"/>
    <w:rsid w:val="00F81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0C17"/>
  <w15:chartTrackingRefBased/>
  <w15:docId w15:val="{F39AFA6F-C0EC-45F2-AF31-D959EB76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25C"/>
  </w:style>
  <w:style w:type="paragraph" w:styleId="Footer">
    <w:name w:val="footer"/>
    <w:basedOn w:val="Normal"/>
    <w:link w:val="FooterChar"/>
    <w:uiPriority w:val="99"/>
    <w:unhideWhenUsed/>
    <w:rsid w:val="00975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25C"/>
  </w:style>
  <w:style w:type="table" w:styleId="TableGrid">
    <w:name w:val="Table Grid"/>
    <w:basedOn w:val="TableNormal"/>
    <w:uiPriority w:val="39"/>
    <w:rsid w:val="00996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1701</Characters>
  <Application>Microsoft Office Word</Application>
  <DocSecurity>0</DocSecurity>
  <Lines>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 Almukhlifi</dc:creator>
  <cp:keywords/>
  <dc:description/>
  <cp:lastModifiedBy>Khawlah Alhumaid</cp:lastModifiedBy>
  <cp:revision>3</cp:revision>
  <cp:lastPrinted>2024-10-02T07:42:00Z</cp:lastPrinted>
  <dcterms:created xsi:type="dcterms:W3CDTF">2025-05-12T08:05:00Z</dcterms:created>
  <dcterms:modified xsi:type="dcterms:W3CDTF">2025-05-12T08:06:00Z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ew0KICAiZG9jSUQiOiAiNjE5MmY1ZmUtZTBhYy00MDI1LWE4ZmUtZWQ1YTc3ZmViZjM0IiwNCiAgIk9TIjogIldpbmRvd3MiLA0KICAiT3B0aW9ucyI6ICJ7XHUwMDIyUG9wdXBDb25maWd1cmF0aW9uXHUwMDIyOntcdTAwMjJBbHdheXNTaG93UG9wdXBcdTAwMjI6</vt:lpwstr>
  </property>
  <property fmtid="{D5CDD505-2E9C-101B-9397-08002B2CF9AE}" pid="3" name="GVData0">
    <vt:lpwstr>ZmFsc2UsXHUwMDIyRW5mb3JjZUhlYWRlckZvb3RlclR5cGVcdTAwMjI6dHJ1ZSxcdTAwMjJIZWFkZXJQbGFjZW1lbnRUeXBlXHUwMDIyOjEsXHUwMDIyRm9vdGVyUGxhY2VtZW50VHlwZVx1MDAyMjoxLFx1MDAyMkVuZm9yY2VMYXlvdXRPcHRpb25cdTAwMjI6dHJ1</vt:lpwstr>
  </property>
  <property fmtid="{D5CDD505-2E9C-101B-9397-08002B2CF9AE}" pid="4" name="ClassificationTagSetId">
    <vt:lpwstr>e16409a7-1700-4153-9090-3955bc2f0ae8</vt:lpwstr>
  </property>
  <property fmtid="{D5CDD505-2E9C-101B-9397-08002B2CF9AE}" pid="5" name="Classification">
    <vt:lpwstr>مقيد / Confidential</vt:lpwstr>
  </property>
  <property fmtid="{D5CDD505-2E9C-101B-9397-08002B2CF9AE}" pid="6" name="ComplianceTagSetId">
    <vt:lpwstr>f14fc1f1-8950-40d5-8a29-45909da947d6</vt:lpwstr>
  </property>
  <property fmtid="{D5CDD505-2E9C-101B-9397-08002B2CF9AE}" pid="7" name="FileId">
    <vt:lpwstr>6192f5fe-e0ac-4025-a8fe-ed5a77febf34</vt:lpwstr>
  </property>
  <property fmtid="{D5CDD505-2E9C-101B-9397-08002B2CF9AE}" pid="8" name="UserId">
    <vt:lpwstr>Razan Almukhlifi</vt:lpwstr>
  </property>
  <property fmtid="{D5CDD505-2E9C-101B-9397-08002B2CF9AE}" pid="9" name="TagDateTime">
    <vt:lpwstr>2024-10-02T07:42:32Z</vt:lpwstr>
  </property>
  <property fmtid="{D5CDD505-2E9C-101B-9397-08002B2CF9AE}" pid="10" name="3rdPartyHeader">
    <vt:lpwstr>مجلس الضمان الصحي مقيد / Council of Health Insurance - Confidential</vt:lpwstr>
  </property>
  <property fmtid="{D5CDD505-2E9C-101B-9397-08002B2CF9AE}" pid="11" name="CurrentState">
    <vt:lpwstr>{"FirstPageDifferent":false,"DifferentOddAndEvenPages":false,"PageCount":1,"HeaderMetadata":"","ThirdPartyHeaderMetadata":"مجلس الضمان الصحي مقيد / Council of Health Insurance - Confidential","GVHeaderExists":false,"NonGVHeaderExists":true,"FloatingHeaderExists":false,"NonGVHeaderShapeExists":false,"ThirdPartyHeaders":[],"FooterMetadata":"","ThirdPartyFooterMetadata":"","GVFooterExists":false,"NonGVFooterExists":false,"FloatingFooterExists":false,"NonGVFooterShapeExists":false,"ThirdPartyFooters":[],"WatermarkMetadata":"","WatermarkExists":false,"PowerpointTitleMetadata":null,"PowerpointSubtitleMetadata":null,"ThirdPartyMetadataFound":false}</vt:lpwstr>
  </property>
  <property fmtid="{D5CDD505-2E9C-101B-9397-08002B2CF9AE}" pid="12" name="GVData1">
    <vt:lpwstr>ZSxcdTAwMjJMYXlvdXRPcHRpb25cdTAwMjI6MCxcdTAwMjJUcmlnZ2VyTnVtYmVyXHUwMDIyOjAsXHUwMDIyRnJvbUluZGV4XHUwMDIyOjAsXHUwMDIyVG9JbmRleFx1MDAyMjowLFx1MDAyMkVuZm9yY2VPdmVyd3JpdGVPcHRpb25cdTAwMjI6ZmFsc2UsXHUwMDIy</vt:lpwstr>
  </property>
  <property fmtid="{D5CDD505-2E9C-101B-9397-08002B2CF9AE}" pid="13" name="GVData2">
    <vt:lpwstr>T3ZlcndyaXRlT3B0aW9uXHUwMDIyOjB9LFx1MDAyMkhlYWRlckVuYWJsZWRcdTAwMjI6ZmFsc2UsXHUwMDIySGVhZGVyXHUwMDIyOlx1MDAyMlx1MDAyMixcdTAwMjJIZWFkZXJzXHUwMDIyOm51bGwsXHUwMDIySGVhZGVyVHlwZVx1MDAyMjoyLFx1MDAyMkhlYWRl</vt:lpwstr>
  </property>
  <property fmtid="{D5CDD505-2E9C-101B-9397-08002B2CF9AE}" pid="14" name="GVData3">
    <vt:lpwstr>clR5cGVzQWxsb3dlZFx1MDAyMjpbMl0sXHUwMDIySGVhZGVyVXBkYXRlVHlwZVx1MDAyMjowLFx1MDAyMkZvb3RlckVuYWJsZWRcdTAwMjI6ZmFsc2UsXHUwMDIyRm9vdGVyXHUwMDIyOlx1MDAyMlx1MDAyMixcdTAwMjJGb290ZXJzXHUwMDIyOm51bGwsXHUwMDIy</vt:lpwstr>
  </property>
  <property fmtid="{D5CDD505-2E9C-101B-9397-08002B2CF9AE}" pid="15" name="GVData4">
    <vt:lpwstr>Rm9vdGVyVHlwZVx1MDAyMjoyLFx1MDAyMkZvb3RlclR5cGVzQWxsb3dlZFx1MDAyMjpbMl0sXHUwMDIyRm9vdGVyVXBkYXRlVHlwZVx1MDAyMjowLFx1MDAyMldhdGVybWFya1x1MDAyMjpcdTAwMjJcdTAwMjIsXHUwMDIyV2F0ZXJtYXJrRW5hYmxlZFx1MDAyMjpm</vt:lpwstr>
  </property>
  <property fmtid="{D5CDD505-2E9C-101B-9397-08002B2CF9AE}" pid="16" name="GVData5">
    <vt:lpwstr>YWxzZSxcdTAwMjJTaG91bGRXcml0ZVdhdGVybWFya1x1MDAyMjpmYWxzZSxcdTAwMjJXYXRlcm1hcmtVcGRhdGVUeXBlXHUwMDIyOjEsXHUwMDIyUG93ZXJwb2ludFRpdGxlXHUwMDIyOm51bGwsXHUwMDIyUG93ZXJwb2ludFN1Yml0bGVcdTAwMjI6bnVsbH0iLA0K</vt:lpwstr>
  </property>
  <property fmtid="{D5CDD505-2E9C-101B-9397-08002B2CF9AE}" pid="17" name="GVData6">
    <vt:lpwstr>ICAiU3RhdGUiOiAie1x1MDAyMkZpcnN0UGFnZURpZmZlcmVudFx1MDAyMjpmYWxzZSxcdTAwMjJEaWZmZXJlbnRPZGRBbmRFdmVuUGFnZXNcdTAwMjI6ZmFsc2UsXHUwMDIyUGFnZUNvdW50XHUwMDIyOjEsXHUwMDIySGVhZGVyTWV0YWRhdGFcdTAwMjI6XHUwMDIy</vt:lpwstr>
  </property>
  <property fmtid="{D5CDD505-2E9C-101B-9397-08002B2CF9AE}" pid="18" name="GVData7">
    <vt:lpwstr>XHUwMDIyLFx1MDAyMlRoaXJkUGFydHlIZWFkZXJNZXRhZGF0YVx1MDAyMjpcdTAwMjJcdTA2NDVcdTA2MkNcdTA2NDRcdTA2MzMgXHUwNjI3XHUwNjQ0XHUwNjM2XHUwNjQ1XHUwNjI3XHUwNjQ2IFx1MDYyN1x1MDY0NFx1MDYzNVx1MDYyRFx1MDY0QSBcdTA2NDVc</vt:lpwstr>
  </property>
  <property fmtid="{D5CDD505-2E9C-101B-9397-08002B2CF9AE}" pid="19" name="GVData8">
    <vt:lpwstr>dTA2NDJcdTA2NEFcdTA2MkYgLyBDb3VuY2lsIG9mIEhlYWx0aCBJbnN1cmFuY2UgLSBDb25maWRlbnRpYWxcdTAwMjIsXHUwMDIyR1ZIZWFkZXJFeGlzdHNcdTAwMjI6ZmFsc2UsXHUwMDIyTm9uR1ZIZWFkZXJFeGlzdHNcdTAwMjI6dHJ1ZSxcdTAwMjJGbG9hdGlu</vt:lpwstr>
  </property>
  <property fmtid="{D5CDD505-2E9C-101B-9397-08002B2CF9AE}" pid="20" name="GVData9">
    <vt:lpwstr>Z0hlYWRlckV4aXN0c1x1MDAyMjpmYWxzZSxcdTAwMjJOb25HVkhlYWRlclNoYXBlRXhpc3RzXHUwMDIyOmZhbHNlLFx1MDAyMlRoaXJkUGFydHlIZWFkZXJzXHUwMDIyOltdLFx1MDAyMkZvb3Rlck1ldGFkYXRhXHUwMDIyOlx1MDAyMlx1MDAyMixcdTAwMjJUaGly</vt:lpwstr>
  </property>
  <property fmtid="{D5CDD505-2E9C-101B-9397-08002B2CF9AE}" pid="21" name="GVData10">
    <vt:lpwstr>ZFBhcnR5Rm9vdGVyTWV0YWRhdGFcdTAwMjI6XHUwMDIyXHUwMDIyLFx1MDAyMkdWRm9vdGVyRXhpc3RzXHUwMDIyOmZhbHNlLFx1MDAyMk5vbkdWRm9vdGVyRXhpc3RzXHUwMDIyOmZhbHNlLFx1MDAyMkZsb2F0aW5nRm9vdGVyRXhpc3RzXHUwMDIyOmZhbHNlLFx1</vt:lpwstr>
  </property>
  <property fmtid="{D5CDD505-2E9C-101B-9397-08002B2CF9AE}" pid="22" name="GVData11">
    <vt:lpwstr>MDAyMk5vbkdWRm9vdGVyU2hhcGVFeGlzdHNcdTAwMjI6ZmFsc2UsXHUwMDIyVGhpcmRQYXJ0eUZvb3RlcnNcdTAwMjI6W10sXHUwMDIyV2F0ZXJtYXJrTWV0YWRhdGFcdTAwMjI6XHUwMDIyXHUwMDIyLFx1MDAyMldhdGVybWFya0V4aXN0c1x1MDAyMjpmYWxzZSxc</vt:lpwstr>
  </property>
  <property fmtid="{D5CDD505-2E9C-101B-9397-08002B2CF9AE}" pid="23" name="GVData12">
    <vt:lpwstr>dTAwMjJQb3dlcnBvaW50VGl0bGVNZXRhZGF0YVx1MDAyMjpudWxsLFx1MDAyMlBvd2VycG9pbnRTdWJ0aXRsZU1ldGFkYXRhXHUwMDIyOm51bGwsXHUwMDIyVGhpcmRQYXJ0eU1ldGFkYXRhRm91bmRcdTAwMjI6ZmFsc2V9Ig0KfQ==</vt:lpwstr>
  </property>
  <property fmtid="{D5CDD505-2E9C-101B-9397-08002B2CF9AE}" pid="24" name="GVData13">
    <vt:lpwstr>(end)</vt:lpwstr>
  </property>
</Properties>
</file>